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ZK1 2023 38 vom 12. Dezember 2023</w:t>
      </w:r>
    </w:p>
    <w:p>
      <w:r>
        <w:t>SZ Gerichte, 2023-12-12, DE</w:t>
      </w:r>
    </w:p>
    <w:p>
      <w:r>
        <w:rPr>
          <w:b/>
        </w:rPr>
        <w:t xml:space="preserve">Quelle: </w:t>
      </w:r>
      <w:r>
        <w:t>https://mcp.opencaselaw.ch/entscheid/sz_gerichte_ZK1 2023 38</w:t>
      </w:r>
    </w:p>
    <w:p>
      <w:r>
        <w:t>FR: SZ_GERICHTE ZK1 2023 38 du 12 décembre 2023</w:t>
      </w:r>
    </w:p>
    <w:p>
      <w:r>
        <w:t>IT: SZ_GERICHTE ZK1 2023 38 del 12 dicembre 2023</w:t>
      </w:r>
    </w:p>
    <w:p>
      <w:pPr>
        <w:pStyle w:val="Heading2"/>
      </w:pPr>
      <w:r>
        <w:t>Regeste</w:t>
      </w:r>
    </w:p>
    <w:p>
      <w:r>
        <w:t>Anfechtung Kündigung/Erstreckung Mietverhältnis | Mietrecht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 GmbH,</w:t>
      </w:r>
    </w:p>
    <w:p>
      <w:r>
        <w:rPr>
          <w:b/>
        </w:rPr>
        <w:t>E. 2</w:t>
      </w:r>
    </w:p>
    <w:p>
      <w:r>
        <w:t>B.________ GmbH, Klägerinnen und Berufungsführerinnen, vertreten durch Rechtsanwalt C.________, gegen D.________ AG, Beklagte und Berufungsgegnerin, vertreten durch Rechtsanwältin E.________, \n \n \n \n \n \n \n \n \n betreffend \n Anfechtung Kündigung/Erstreckung Mietverhältnis \n \n \n \n (Berufung gegen die Verfügung des Präsidenten des Bezirksgerichts Höfe vom 20. September 2023, ZGO 2023 27);- \n \n \n \n hat der Kantonsgerichtsvizepräsident, \n \n nachdem sich ergeben und in Erwägung: \n 1. Am 20. September 2023 trat der Gerichtspräsident auf die hauptsächlich auf eine fünfjährige Mieterstreckung gerichtete, beim „Bezirksgericht Höfe“ ein­gereichte Klage vom 14. September 2023 (Vi-act. A I) mit einem Streitwert von ca. 1 Million Franken (angef. Verfügung E. 3) nicht ein, da nach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